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242BF" w14:textId="77777777" w:rsidR="008A1441" w:rsidRPr="009E3937" w:rsidRDefault="008A1441" w:rsidP="008A14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14:paraId="526066C1" w14:textId="77777777" w:rsidR="00620D61" w:rsidRPr="009E3937" w:rsidRDefault="00620D61" w:rsidP="00620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lang w:val="uk-UA" w:eastAsia="en-US"/>
        </w:rPr>
      </w:pPr>
      <w:r w:rsidRPr="009E3937">
        <w:rPr>
          <w:b/>
          <w:lang w:val="uk-UA"/>
        </w:rPr>
        <w:t xml:space="preserve">Порядок </w:t>
      </w:r>
      <w:r w:rsidRPr="009E3937">
        <w:rPr>
          <w:rFonts w:eastAsia="Calibri"/>
          <w:b/>
          <w:lang w:val="uk-UA" w:eastAsia="en-US"/>
        </w:rPr>
        <w:t>конкурсного відбору суб’єктів аудиторської діяльності на проведення аудиту фінансової звітності АТ «МОТОР - БАНК»</w:t>
      </w:r>
    </w:p>
    <w:p w14:paraId="5752EB2E" w14:textId="77777777" w:rsidR="00620D61" w:rsidRPr="009E3937" w:rsidRDefault="00620D61" w:rsidP="00620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Style w:val="a6"/>
          <w:b w:val="0"/>
          <w:color w:val="474747"/>
          <w:bdr w:val="none" w:sz="0" w:space="0" w:color="auto" w:frame="1"/>
          <w:lang w:val="uk-UA"/>
        </w:rPr>
      </w:pPr>
    </w:p>
    <w:p w14:paraId="4376DF71" w14:textId="77777777" w:rsidR="006874A5" w:rsidRPr="006874A5" w:rsidRDefault="006874A5" w:rsidP="006874A5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Style w:val="a6"/>
          <w:bdr w:val="none" w:sz="0" w:space="0" w:color="auto" w:frame="1"/>
          <w:lang w:val="uk-UA"/>
        </w:rPr>
      </w:pPr>
      <w:r w:rsidRPr="006874A5">
        <w:rPr>
          <w:rStyle w:val="a6"/>
          <w:bdr w:val="none" w:sz="0" w:space="0" w:color="auto" w:frame="1"/>
          <w:lang w:val="uk-UA"/>
        </w:rPr>
        <w:t>Метою проведення конкурсу є вибір на конкурсних засадах аудиторської фірми для проведення аудиту фінансової звітності АТ «МОТОР-БАНК» (далі - Замовник).</w:t>
      </w:r>
    </w:p>
    <w:p w14:paraId="60E71E39" w14:textId="77777777" w:rsidR="00620D61" w:rsidRPr="006874A5" w:rsidRDefault="00620D61" w:rsidP="00620D61">
      <w:pPr>
        <w:pStyle w:val="a5"/>
        <w:spacing w:before="0" w:beforeAutospacing="0" w:after="0" w:afterAutospacing="0"/>
        <w:textAlignment w:val="baseline"/>
        <w:rPr>
          <w:lang w:val="uk-UA"/>
        </w:rPr>
      </w:pPr>
      <w:r w:rsidRPr="006874A5">
        <w:rPr>
          <w:rStyle w:val="a6"/>
          <w:bdr w:val="none" w:sz="0" w:space="0" w:color="auto" w:frame="1"/>
          <w:lang w:val="uk-UA"/>
        </w:rPr>
        <w:t xml:space="preserve">Завдання з обов’язкового аудиту фінансової звітності </w:t>
      </w:r>
      <w:r w:rsidRPr="006874A5">
        <w:rPr>
          <w:rFonts w:eastAsia="Calibri"/>
          <w:b/>
          <w:lang w:val="uk-UA" w:eastAsia="en-US"/>
        </w:rPr>
        <w:t xml:space="preserve">АТ «МОТОР - БАНК» </w:t>
      </w:r>
      <w:r w:rsidRPr="006874A5">
        <w:rPr>
          <w:rStyle w:val="a6"/>
          <w:bdr w:val="none" w:sz="0" w:space="0" w:color="auto" w:frame="1"/>
          <w:lang w:val="uk-UA"/>
        </w:rPr>
        <w:t>включає:</w:t>
      </w:r>
    </w:p>
    <w:p w14:paraId="2C961A1A" w14:textId="08266893" w:rsidR="00173712" w:rsidRDefault="00173712" w:rsidP="00173712">
      <w:pPr>
        <w:pStyle w:val="a3"/>
        <w:numPr>
          <w:ilvl w:val="0"/>
          <w:numId w:val="1"/>
        </w:numPr>
        <w:tabs>
          <w:tab w:val="left" w:pos="851"/>
        </w:tabs>
        <w:spacing w:line="200" w:lineRule="atLeast"/>
        <w:jc w:val="both"/>
        <w:rPr>
          <w:lang w:val="uk-UA"/>
        </w:rPr>
      </w:pPr>
      <w:r>
        <w:rPr>
          <w:lang w:val="uk-UA"/>
        </w:rPr>
        <w:t>а</w:t>
      </w:r>
      <w:r w:rsidRPr="00430AEC">
        <w:rPr>
          <w:lang w:val="uk-UA"/>
        </w:rPr>
        <w:t>удит річної фінансової звітності за рік, що закінчився 31.12.202</w:t>
      </w:r>
      <w:r w:rsidR="004B06DA">
        <w:rPr>
          <w:lang w:val="uk-UA"/>
        </w:rPr>
        <w:t>5</w:t>
      </w:r>
      <w:r w:rsidRPr="00430AEC">
        <w:rPr>
          <w:lang w:val="uk-UA"/>
        </w:rPr>
        <w:t>, підготовленої відповідно до МСФЗ.</w:t>
      </w:r>
    </w:p>
    <w:p w14:paraId="157434F5" w14:textId="77777777" w:rsidR="00173712" w:rsidRPr="00430AEC" w:rsidRDefault="00173712" w:rsidP="00173712">
      <w:pPr>
        <w:pStyle w:val="a3"/>
        <w:tabs>
          <w:tab w:val="left" w:pos="851"/>
        </w:tabs>
        <w:spacing w:line="200" w:lineRule="atLeast"/>
        <w:ind w:firstLine="567"/>
        <w:jc w:val="both"/>
        <w:rPr>
          <w:lang w:val="uk-UA"/>
        </w:rPr>
      </w:pPr>
      <w:r w:rsidRPr="00430AEC">
        <w:rPr>
          <w:lang w:val="uk-UA"/>
        </w:rPr>
        <w:t>Мет</w:t>
      </w:r>
      <w:r>
        <w:rPr>
          <w:lang w:val="uk-UA"/>
        </w:rPr>
        <w:t>а</w:t>
      </w:r>
      <w:r w:rsidRPr="00430AEC">
        <w:rPr>
          <w:lang w:val="uk-UA"/>
        </w:rPr>
        <w:t xml:space="preserve"> аудиту</w:t>
      </w:r>
      <w:r>
        <w:rPr>
          <w:lang w:val="uk-UA"/>
        </w:rPr>
        <w:t xml:space="preserve">: </w:t>
      </w:r>
      <w:r w:rsidRPr="00430AEC">
        <w:rPr>
          <w:lang w:val="uk-UA"/>
        </w:rPr>
        <w:t>висловлення аудитором думки про те, чи фінансова звітність відображає достовірно, в усіх суттєвих аспектах фінансовий стан Замовника на звітну дату та результати його діяльності за звітний період</w:t>
      </w:r>
      <w:r>
        <w:rPr>
          <w:lang w:val="uk-UA"/>
        </w:rPr>
        <w:t>;</w:t>
      </w:r>
    </w:p>
    <w:p w14:paraId="262068DB" w14:textId="714AEEC7" w:rsidR="00173712" w:rsidRDefault="00173712" w:rsidP="00173712">
      <w:pPr>
        <w:pStyle w:val="a3"/>
        <w:numPr>
          <w:ilvl w:val="0"/>
          <w:numId w:val="1"/>
        </w:numPr>
        <w:tabs>
          <w:tab w:val="left" w:pos="851"/>
        </w:tabs>
        <w:spacing w:line="200" w:lineRule="atLeast"/>
        <w:jc w:val="both"/>
        <w:rPr>
          <w:lang w:val="uk-UA"/>
        </w:rPr>
      </w:pPr>
      <w:r>
        <w:rPr>
          <w:lang w:val="uk-UA"/>
        </w:rPr>
        <w:t>п</w:t>
      </w:r>
      <w:r w:rsidRPr="00430AEC">
        <w:rPr>
          <w:lang w:val="uk-UA"/>
        </w:rPr>
        <w:t>еревірка/висловлення думки щодо Звіту про управління (включно зі Звітом керівництва) Замовника (надалі – Звіт) за рік, що закінчився 31.12.202</w:t>
      </w:r>
      <w:r>
        <w:rPr>
          <w:lang w:val="uk-UA"/>
        </w:rPr>
        <w:t>5.</w:t>
      </w:r>
    </w:p>
    <w:p w14:paraId="446368D5" w14:textId="77777777" w:rsidR="00173712" w:rsidRPr="00430AEC" w:rsidRDefault="00173712" w:rsidP="00173712">
      <w:pPr>
        <w:pStyle w:val="a3"/>
        <w:tabs>
          <w:tab w:val="left" w:pos="851"/>
        </w:tabs>
        <w:spacing w:line="200" w:lineRule="atLeast"/>
        <w:ind w:firstLine="567"/>
        <w:jc w:val="both"/>
        <w:rPr>
          <w:lang w:val="uk-UA"/>
        </w:rPr>
      </w:pPr>
      <w:r w:rsidRPr="00430AEC">
        <w:rPr>
          <w:lang w:val="uk-UA"/>
        </w:rPr>
        <w:t>Мет</w:t>
      </w:r>
      <w:r>
        <w:rPr>
          <w:lang w:val="uk-UA"/>
        </w:rPr>
        <w:t>а</w:t>
      </w:r>
      <w:r w:rsidRPr="00430AEC">
        <w:rPr>
          <w:lang w:val="uk-UA"/>
        </w:rPr>
        <w:t xml:space="preserve"> перевірки</w:t>
      </w:r>
      <w:r>
        <w:rPr>
          <w:lang w:val="uk-UA"/>
        </w:rPr>
        <w:t>:</w:t>
      </w:r>
      <w:r w:rsidRPr="00430AEC">
        <w:rPr>
          <w:lang w:val="uk-UA"/>
        </w:rPr>
        <w:t xml:space="preserve"> відображення в аудиторському звіті інформації щодо узгодженості Звіту з фінансовою звітністю Замовника за звітний рік, відповідності Звіту вимогам законодавства України, наявності суттєвих викривлень у Звіті та їх характеру</w:t>
      </w:r>
      <w:r>
        <w:rPr>
          <w:lang w:val="uk-UA"/>
        </w:rPr>
        <w:t>;</w:t>
      </w:r>
    </w:p>
    <w:p w14:paraId="34B993F6" w14:textId="5B18D998" w:rsidR="00173712" w:rsidRDefault="00173712" w:rsidP="00173712">
      <w:pPr>
        <w:pStyle w:val="a3"/>
        <w:numPr>
          <w:ilvl w:val="0"/>
          <w:numId w:val="1"/>
        </w:numPr>
        <w:tabs>
          <w:tab w:val="left" w:pos="851"/>
        </w:tabs>
        <w:spacing w:line="200" w:lineRule="atLeast"/>
        <w:jc w:val="both"/>
        <w:rPr>
          <w:lang w:val="uk-UA"/>
        </w:rPr>
      </w:pPr>
      <w:r>
        <w:rPr>
          <w:lang w:val="uk-UA"/>
        </w:rPr>
        <w:t>п</w:t>
      </w:r>
      <w:r w:rsidRPr="00430AEC">
        <w:rPr>
          <w:lang w:val="uk-UA"/>
        </w:rPr>
        <w:t>роведення першого етапу оцінки стійкості Банку станом на 01.01.202</w:t>
      </w:r>
      <w:r w:rsidR="00317488">
        <w:rPr>
          <w:lang w:val="uk-UA"/>
        </w:rPr>
        <w:t>6</w:t>
      </w:r>
      <w:r w:rsidRPr="00430AEC">
        <w:rPr>
          <w:lang w:val="uk-UA"/>
        </w:rPr>
        <w:t xml:space="preserve"> відповідно до вимог нормативно-правових актів Національного банку України, включаючи вимоги Положення про здійснення оцінки стійкості банків і банківської системи України</w:t>
      </w:r>
      <w:r>
        <w:rPr>
          <w:lang w:val="uk-UA"/>
        </w:rPr>
        <w:t>, затвердженого</w:t>
      </w:r>
      <w:r w:rsidRPr="00430AEC">
        <w:rPr>
          <w:lang w:val="uk-UA"/>
        </w:rPr>
        <w:t xml:space="preserve"> Постанов</w:t>
      </w:r>
      <w:r>
        <w:rPr>
          <w:lang w:val="uk-UA"/>
        </w:rPr>
        <w:t>ою</w:t>
      </w:r>
      <w:r w:rsidRPr="00430AEC">
        <w:rPr>
          <w:lang w:val="uk-UA"/>
        </w:rPr>
        <w:t xml:space="preserve"> Правління Н</w:t>
      </w:r>
      <w:r>
        <w:rPr>
          <w:lang w:val="uk-UA"/>
        </w:rPr>
        <w:t xml:space="preserve">аціонального банку </w:t>
      </w:r>
      <w:r w:rsidRPr="00430AEC">
        <w:rPr>
          <w:lang w:val="uk-UA"/>
        </w:rPr>
        <w:t>У</w:t>
      </w:r>
      <w:r>
        <w:rPr>
          <w:lang w:val="uk-UA"/>
        </w:rPr>
        <w:t>країни</w:t>
      </w:r>
      <w:r w:rsidRPr="00430AEC">
        <w:rPr>
          <w:lang w:val="uk-UA"/>
        </w:rPr>
        <w:t xml:space="preserve"> від 22.12.2017 </w:t>
      </w:r>
      <w:r>
        <w:rPr>
          <w:lang w:val="uk-UA"/>
        </w:rPr>
        <w:t>№141 із змінами.</w:t>
      </w:r>
    </w:p>
    <w:p w14:paraId="37D9BF52" w14:textId="77777777" w:rsidR="007121FF" w:rsidRPr="006E2D00" w:rsidRDefault="007121FF" w:rsidP="007121FF">
      <w:pPr>
        <w:tabs>
          <w:tab w:val="left" w:pos="1134"/>
        </w:tabs>
        <w:spacing w:line="200" w:lineRule="atLeast"/>
        <w:ind w:firstLine="567"/>
        <w:jc w:val="both"/>
        <w:rPr>
          <w:lang w:val="uk-UA"/>
        </w:rPr>
      </w:pPr>
      <w:r w:rsidRPr="006E2D00">
        <w:rPr>
          <w:b/>
          <w:lang w:val="uk-UA"/>
        </w:rPr>
        <w:t>До участі у конкурсі можуть бути допущені претенденти, які відповідають наступним вимогам</w:t>
      </w:r>
      <w:r w:rsidRPr="006E2D00">
        <w:rPr>
          <w:lang w:val="uk-UA"/>
        </w:rPr>
        <w:t>:</w:t>
      </w:r>
    </w:p>
    <w:p w14:paraId="378D7B3D" w14:textId="77777777" w:rsidR="007121FF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 w:line="200" w:lineRule="atLeast"/>
        <w:ind w:left="0" w:firstLine="567"/>
        <w:jc w:val="both"/>
        <w:rPr>
          <w:lang w:val="uk-UA"/>
        </w:rPr>
      </w:pPr>
      <w:r w:rsidRPr="006E2D00">
        <w:rPr>
          <w:lang w:val="uk-UA"/>
        </w:rPr>
        <w:t>відповідають вимогам, встановленим Законом про аудит, зокрема можуть надавати послуги з обов’язкового аудиту фінансової звітності підприємств, що становлять суспільний інтерес та включені до відповідного розділу Реєстру аудиторів та суб’єктів аудиторської діяльності;</w:t>
      </w:r>
    </w:p>
    <w:p w14:paraId="49BDB3D1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підтвердили кваліфікаційну придатність до провадження аудиторської діяльності та мають відповідні сертифікати;</w:t>
      </w:r>
    </w:p>
    <w:p w14:paraId="0DA83EE8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мають відповідний практичний досвід проведення аудиту фінансової звітності банків;</w:t>
      </w:r>
    </w:p>
    <w:p w14:paraId="0A8205EE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мають позитивну ділову репутацію;</w:t>
      </w:r>
    </w:p>
    <w:p w14:paraId="392A1F0D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у яких 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</w:t>
      </w:r>
      <w:r>
        <w:rPr>
          <w:lang w:val="uk-UA"/>
        </w:rPr>
        <w:t>;</w:t>
      </w:r>
      <w:r w:rsidRPr="006E2D00">
        <w:rPr>
          <w:lang w:val="uk-UA"/>
        </w:rPr>
        <w:t xml:space="preserve"> </w:t>
      </w:r>
    </w:p>
    <w:p w14:paraId="1FF61A47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не мають обмежень, пов’язаних з тривалістю надання аудиторських послуг Банку;</w:t>
      </w:r>
    </w:p>
    <w:p w14:paraId="3F5AE67E" w14:textId="7777777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мають підтвердження проходження обов'язкового контролю якості аудиторських послуг;</w:t>
      </w:r>
    </w:p>
    <w:p w14:paraId="1D493B4E" w14:textId="26524107" w:rsidR="007121FF" w:rsidRPr="006E2D00" w:rsidRDefault="007121FF" w:rsidP="007121FF">
      <w:pPr>
        <w:pStyle w:val="a5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E2D00">
        <w:rPr>
          <w:lang w:val="uk-UA"/>
        </w:rPr>
        <w:t>є незалежними, не мають конфлікту інтересів та не є пов’язаними особами з Банком.</w:t>
      </w:r>
    </w:p>
    <w:p w14:paraId="00041E22" w14:textId="7FD7A39C" w:rsidR="00620D61" w:rsidRPr="009E3937" w:rsidRDefault="00620D61" w:rsidP="00620D61">
      <w:pPr>
        <w:pStyle w:val="a5"/>
        <w:spacing w:before="0" w:beforeAutospacing="0" w:after="0" w:afterAutospacing="0"/>
        <w:ind w:left="709" w:hanging="709"/>
        <w:jc w:val="both"/>
        <w:textAlignment w:val="baseline"/>
        <w:rPr>
          <w:color w:val="474747"/>
          <w:lang w:val="uk-UA"/>
        </w:rPr>
      </w:pPr>
    </w:p>
    <w:p w14:paraId="26D689B7" w14:textId="77777777" w:rsidR="00AE19E0" w:rsidRPr="006E2D00" w:rsidRDefault="00AE19E0" w:rsidP="00AE19E0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b/>
          <w:lang w:val="uk-UA"/>
        </w:rPr>
        <w:t>Не допускаються до конкурсного відбору претенденти</w:t>
      </w:r>
      <w:r w:rsidRPr="006E2D00">
        <w:rPr>
          <w:lang w:val="uk-UA"/>
        </w:rPr>
        <w:t>, які:</w:t>
      </w:r>
    </w:p>
    <w:p w14:paraId="0F6E03C1" w14:textId="77777777" w:rsidR="00AE19E0" w:rsidRPr="009E2106" w:rsidRDefault="00AE19E0" w:rsidP="00AE19E0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contextualSpacing w:val="0"/>
        <w:jc w:val="both"/>
        <w:rPr>
          <w:rFonts w:eastAsia="Calibri"/>
          <w:lang w:val="uk-UA" w:eastAsia="en-US"/>
        </w:rPr>
      </w:pPr>
      <w:r w:rsidRPr="009E2106">
        <w:rPr>
          <w:rFonts w:eastAsia="Calibri"/>
          <w:lang w:val="uk-UA" w:eastAsia="en-US"/>
        </w:rPr>
        <w:t>не відповідають вимогам, встановленим Законом про аудит щодо проведення обов'язкового аудиту фінансової звітності підприємств, що становлять суспільний інтерес;</w:t>
      </w:r>
    </w:p>
    <w:p w14:paraId="0A92C787" w14:textId="77777777" w:rsidR="00AE19E0" w:rsidRPr="009E2106" w:rsidRDefault="00AE19E0" w:rsidP="00AE19E0">
      <w:pPr>
        <w:pStyle w:val="a3"/>
        <w:numPr>
          <w:ilvl w:val="1"/>
          <w:numId w:val="8"/>
        </w:numPr>
        <w:tabs>
          <w:tab w:val="left" w:pos="851"/>
        </w:tabs>
        <w:ind w:left="0" w:firstLine="567"/>
        <w:contextualSpacing w:val="0"/>
        <w:jc w:val="both"/>
        <w:rPr>
          <w:rFonts w:eastAsia="Calibri"/>
          <w:lang w:val="uk-UA" w:eastAsia="en-US"/>
        </w:rPr>
      </w:pPr>
      <w:r w:rsidRPr="009E2106">
        <w:rPr>
          <w:rFonts w:eastAsia="Calibri"/>
          <w:lang w:val="uk-UA" w:eastAsia="en-US"/>
        </w:rPr>
        <w:t>не мають підтвердження проходження обов'язкового контролю якості аудиторських послуг;</w:t>
      </w:r>
    </w:p>
    <w:p w14:paraId="3BFD334D" w14:textId="77777777" w:rsidR="00AE19E0" w:rsidRPr="006E2D00" w:rsidRDefault="00AE19E0" w:rsidP="00AE19E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подали до участі в конкурсі документи, що містять недостовірну інформацію;</w:t>
      </w:r>
    </w:p>
    <w:p w14:paraId="7BA5DFB8" w14:textId="77777777" w:rsidR="00AE19E0" w:rsidRPr="006E2D00" w:rsidRDefault="00AE19E0" w:rsidP="00AE19E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у яких за попередній річний звітний період сума винагороди від кожного з підприємств, що становлять суспільний інтерес, яким надавалися послуги з обов'язкового аудиту фінансової звітності протягом річного звітного періоду, перевищує 15 відсотків загальної суми доходу від надання аудиторських послуг.</w:t>
      </w:r>
    </w:p>
    <w:p w14:paraId="25849260" w14:textId="77777777" w:rsidR="00AE19E0" w:rsidRPr="006E2D00" w:rsidRDefault="00AE19E0" w:rsidP="00AE19E0">
      <w:pPr>
        <w:tabs>
          <w:tab w:val="left" w:pos="1134"/>
        </w:tabs>
        <w:ind w:firstLine="567"/>
        <w:jc w:val="both"/>
        <w:rPr>
          <w:rFonts w:eastAsia="Calibri"/>
          <w:lang w:val="uk-UA" w:eastAsia="en-US"/>
        </w:rPr>
      </w:pPr>
    </w:p>
    <w:p w14:paraId="69F04284" w14:textId="77777777" w:rsidR="00AE19E0" w:rsidRPr="006E2D00" w:rsidRDefault="00AE19E0" w:rsidP="00AE19E0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b/>
          <w:lang w:val="uk-UA"/>
        </w:rPr>
        <w:t>Конкурентними перевагами для претендентів</w:t>
      </w:r>
      <w:r w:rsidRPr="006E2D00">
        <w:rPr>
          <w:lang w:val="uk-UA"/>
        </w:rPr>
        <w:t xml:space="preserve"> є :</w:t>
      </w:r>
    </w:p>
    <w:p w14:paraId="4134B365" w14:textId="77777777" w:rsidR="00AE19E0" w:rsidRPr="006E2D00" w:rsidRDefault="00AE19E0" w:rsidP="00AE19E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досвід роботи, у тому числі досвід надання аудиторських послуг банкам;</w:t>
      </w:r>
    </w:p>
    <w:p w14:paraId="1DD303AF" w14:textId="77777777" w:rsidR="00AE19E0" w:rsidRPr="006E2D00" w:rsidRDefault="00AE19E0" w:rsidP="00AE19E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репутація на ринку;</w:t>
      </w:r>
    </w:p>
    <w:p w14:paraId="434109D2" w14:textId="77777777" w:rsidR="00AE19E0" w:rsidRPr="006E2D00" w:rsidRDefault="00AE19E0" w:rsidP="00AE19E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цінова пропозиція;</w:t>
      </w:r>
    </w:p>
    <w:p w14:paraId="31228E70" w14:textId="77777777" w:rsidR="00AE19E0" w:rsidRPr="006E2D00" w:rsidRDefault="00AE19E0" w:rsidP="00AE19E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lang w:val="uk-UA" w:eastAsia="en-US"/>
        </w:rPr>
      </w:pPr>
      <w:r w:rsidRPr="006E2D00">
        <w:rPr>
          <w:rFonts w:eastAsia="Calibri"/>
          <w:lang w:val="uk-UA" w:eastAsia="en-US"/>
        </w:rPr>
        <w:t>відсутність конфлікту інтересів.</w:t>
      </w:r>
    </w:p>
    <w:p w14:paraId="567684D7" w14:textId="1B8AEB33" w:rsidR="00AC2CE6" w:rsidRDefault="00AC2CE6" w:rsidP="00620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  <w:r w:rsidRPr="00AC2CE6">
        <w:rPr>
          <w:bCs/>
          <w:lang w:val="uk-UA"/>
        </w:rPr>
        <w:t xml:space="preserve">Конкурсні пропозиції приймаються Банком з </w:t>
      </w:r>
      <w:r w:rsidR="004F0354">
        <w:rPr>
          <w:bCs/>
          <w:lang w:val="uk-UA"/>
        </w:rPr>
        <w:t>29</w:t>
      </w:r>
      <w:r w:rsidRPr="00AC2CE6">
        <w:rPr>
          <w:bCs/>
          <w:lang w:val="uk-UA"/>
        </w:rPr>
        <w:t>.</w:t>
      </w:r>
      <w:r w:rsidR="004F0354">
        <w:rPr>
          <w:bCs/>
          <w:lang w:val="uk-UA"/>
        </w:rPr>
        <w:t>1</w:t>
      </w:r>
      <w:r w:rsidRPr="00AC2CE6">
        <w:rPr>
          <w:bCs/>
          <w:lang w:val="uk-UA"/>
        </w:rPr>
        <w:t xml:space="preserve">0.2025р. </w:t>
      </w:r>
      <w:bookmarkStart w:id="0" w:name="_GoBack"/>
      <w:bookmarkEnd w:id="0"/>
      <w:r w:rsidRPr="00AC2CE6">
        <w:rPr>
          <w:b/>
          <w:lang w:val="uk-UA"/>
        </w:rPr>
        <w:t xml:space="preserve">  </w:t>
      </w:r>
    </w:p>
    <w:p w14:paraId="357DC8CB" w14:textId="7BADD2A2" w:rsidR="00620D61" w:rsidRPr="009E3937" w:rsidRDefault="00620D61" w:rsidP="00620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  <w:r w:rsidRPr="009E3937">
        <w:rPr>
          <w:lang w:val="uk-UA"/>
        </w:rPr>
        <w:t>Конкурсні пропозиції, отримані Банком після закінчення строку їх подання, не розглядаються.</w:t>
      </w:r>
    </w:p>
    <w:p w14:paraId="649FD71E" w14:textId="77777777" w:rsidR="001506FC" w:rsidRDefault="001506FC" w:rsidP="001506FC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  <w:r w:rsidRPr="00322451">
        <w:rPr>
          <w:lang w:val="uk-UA"/>
        </w:rPr>
        <w:t xml:space="preserve">Конкурсні пропозиції необхідно надсилати електронною поштою </w:t>
      </w:r>
      <w:r w:rsidRPr="00322451">
        <w:rPr>
          <w:b/>
          <w:lang w:val="uk-UA"/>
        </w:rPr>
        <w:t>на адресу</w:t>
      </w:r>
      <w:r w:rsidRPr="006E2D00">
        <w:rPr>
          <w:b/>
          <w:lang w:val="uk-UA"/>
        </w:rPr>
        <w:t xml:space="preserve">: </w:t>
      </w:r>
      <w:r w:rsidRPr="00322451">
        <w:rPr>
          <w:b/>
          <w:lang w:val="uk-UA"/>
        </w:rPr>
        <w:t>kgv@motor-bank.com.ua</w:t>
      </w:r>
    </w:p>
    <w:p w14:paraId="2AD7FDBA" w14:textId="3A87D92C" w:rsidR="00620D61" w:rsidRDefault="00620D61" w:rsidP="00620D61">
      <w:pPr>
        <w:jc w:val="both"/>
        <w:rPr>
          <w:b/>
          <w:lang w:val="uk-UA"/>
        </w:rPr>
      </w:pPr>
      <w:r w:rsidRPr="009E3937">
        <w:rPr>
          <w:b/>
          <w:lang w:val="uk-UA"/>
        </w:rPr>
        <w:t>Для участі в конкурсному відборі претендент подає такі документи:</w:t>
      </w:r>
    </w:p>
    <w:p w14:paraId="7A11E7A2" w14:textId="77777777" w:rsidR="00EC7A8F" w:rsidRPr="006E2D00" w:rsidRDefault="00EC7A8F" w:rsidP="00EC7A8F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b/>
          <w:lang w:val="uk-UA"/>
        </w:rPr>
        <w:t>Для участі в конкурсному відборі претендент подає такі документи</w:t>
      </w:r>
      <w:r w:rsidRPr="006E2D00">
        <w:rPr>
          <w:lang w:val="uk-UA"/>
        </w:rPr>
        <w:t>:</w:t>
      </w:r>
    </w:p>
    <w:p w14:paraId="1BF0276B" w14:textId="77777777" w:rsidR="00EC7A8F" w:rsidRPr="00322451" w:rsidRDefault="00EC7A8F" w:rsidP="00EC7A8F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>конкурсну пропозицію, яка містить інформацію щодо ціни і строку надання аудиторських послуг;</w:t>
      </w:r>
    </w:p>
    <w:p w14:paraId="6724E732" w14:textId="77777777" w:rsidR="00EC7A8F" w:rsidRDefault="00EC7A8F" w:rsidP="00EC7A8F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 xml:space="preserve">інформацію про претендента: </w:t>
      </w:r>
    </w:p>
    <w:p w14:paraId="0DC65344" w14:textId="77777777" w:rsidR="00EC7A8F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22451">
        <w:rPr>
          <w:lang w:val="uk-UA"/>
        </w:rPr>
        <w:t>повне найменування претендента, код ЄДРПОУ, місцезнаходження</w:t>
      </w:r>
      <w:r>
        <w:rPr>
          <w:lang w:val="uk-UA"/>
        </w:rPr>
        <w:t>;</w:t>
      </w:r>
      <w:r w:rsidRPr="00322451">
        <w:rPr>
          <w:lang w:val="uk-UA"/>
        </w:rPr>
        <w:t xml:space="preserve"> </w:t>
      </w:r>
    </w:p>
    <w:p w14:paraId="0C7512FA" w14:textId="77777777" w:rsidR="00EC7A8F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22451">
        <w:rPr>
          <w:lang w:val="uk-UA"/>
        </w:rPr>
        <w:t xml:space="preserve">посада, прізвище ім’я та по батькові (за наявності) особи, уповноваженої на підписання конкурсної документації та аудиторського договору; </w:t>
      </w:r>
    </w:p>
    <w:p w14:paraId="0265A7F0" w14:textId="77777777" w:rsidR="00EC7A8F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22451">
        <w:rPr>
          <w:lang w:val="uk-UA"/>
        </w:rPr>
        <w:t xml:space="preserve">банківські реквізити; </w:t>
      </w:r>
    </w:p>
    <w:p w14:paraId="10E84EA0" w14:textId="77777777" w:rsidR="00EC7A8F" w:rsidRPr="00322451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22451">
        <w:rPr>
          <w:lang w:val="uk-UA"/>
        </w:rPr>
        <w:t>телефон, факс, e-mail;</w:t>
      </w:r>
    </w:p>
    <w:p w14:paraId="3B1CF897" w14:textId="77777777" w:rsidR="00EC7A8F" w:rsidRPr="00322451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322451">
        <w:rPr>
          <w:lang w:val="uk-UA"/>
        </w:rPr>
        <w:t>відомості щодо досвіду роботи претендента, кваліфікації та особистого досвіду працівників-аудиторів з надання аудиторських послуг;</w:t>
      </w:r>
    </w:p>
    <w:p w14:paraId="617986A1" w14:textId="77777777" w:rsidR="00EC7A8F" w:rsidRPr="00322451" w:rsidRDefault="00EC7A8F" w:rsidP="00EC7A8F">
      <w:pPr>
        <w:pStyle w:val="a5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rPr>
          <w:lang w:val="uk-UA"/>
        </w:rPr>
      </w:pPr>
      <w:r w:rsidRPr="00322451">
        <w:rPr>
          <w:lang w:val="uk-UA"/>
        </w:rPr>
        <w:t>іншу інформаці</w:t>
      </w:r>
      <w:r>
        <w:rPr>
          <w:lang w:val="uk-UA"/>
        </w:rPr>
        <w:t>ю</w:t>
      </w:r>
      <w:r w:rsidRPr="00322451">
        <w:rPr>
          <w:lang w:val="uk-UA"/>
        </w:rPr>
        <w:t>, яку бажає повідомити претендент</w:t>
      </w:r>
      <w:r>
        <w:rPr>
          <w:lang w:val="uk-UA"/>
        </w:rPr>
        <w:t>;</w:t>
      </w:r>
    </w:p>
    <w:p w14:paraId="0E2EBD29" w14:textId="0BA59DB6" w:rsidR="00EC7A8F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>А</w:t>
      </w:r>
      <w:r w:rsidRPr="00322451">
        <w:rPr>
          <w:lang w:val="uk-UA"/>
        </w:rPr>
        <w:t>нкету учасника конкурсу (</w:t>
      </w:r>
      <w:r w:rsidR="00BF4BF3">
        <w:rPr>
          <w:lang w:val="uk-UA"/>
        </w:rPr>
        <w:t>зразок додається</w:t>
      </w:r>
      <w:r w:rsidRPr="00322451">
        <w:rPr>
          <w:lang w:val="uk-UA"/>
        </w:rPr>
        <w:t>);</w:t>
      </w:r>
    </w:p>
    <w:p w14:paraId="321B8C3C" w14:textId="77777777" w:rsidR="00EC7A8F" w:rsidRPr="00430AEC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 w:rsidRPr="004D03EF">
        <w:rPr>
          <w:lang w:val="uk-UA"/>
        </w:rPr>
        <w:t>письмово підтвердження, що суб'єкт аудиторської діяльності, ключовий партнер з аудиту, аудитори, які залучаються до виконання відповідного завдання, є незалежними від Банку</w:t>
      </w:r>
      <w:r>
        <w:rPr>
          <w:lang w:val="uk-UA"/>
        </w:rPr>
        <w:t>;</w:t>
      </w:r>
    </w:p>
    <w:p w14:paraId="65DFB86E" w14:textId="77777777" w:rsidR="00EC7A8F" w:rsidRPr="00322451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 w:rsidRPr="00322451">
        <w:rPr>
          <w:lang w:val="uk-UA"/>
        </w:rPr>
        <w:t>копії документів претендента:</w:t>
      </w:r>
    </w:p>
    <w:p w14:paraId="52B33D9C" w14:textId="77777777" w:rsidR="00EC7A8F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>копію останньої редакції установчого документ</w:t>
      </w:r>
      <w:r>
        <w:rPr>
          <w:lang w:val="uk-UA"/>
        </w:rPr>
        <w:t>а</w:t>
      </w:r>
      <w:r w:rsidRPr="00322451">
        <w:rPr>
          <w:lang w:val="uk-UA"/>
        </w:rPr>
        <w:t xml:space="preserve"> чи опис документів з кодом, що надає можливість переглянути останню редакцію установчого документа претендента у вигляді безоплатного доступу через портал електронних сервісів (для юридичних осіб);</w:t>
      </w:r>
    </w:p>
    <w:p w14:paraId="03526364" w14:textId="77777777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>копію виписки з Єдиного державного реєстру юридичних осіб, фізичних осіб-підприємців та громадських формувань (для юридичних осіб та фізичних осіб – підприємців);</w:t>
      </w:r>
    </w:p>
    <w:p w14:paraId="0ABBB0EC" w14:textId="77777777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>копію довідки про присвоєння реєстраційного номер</w:t>
      </w:r>
      <w:r>
        <w:rPr>
          <w:lang w:val="uk-UA"/>
        </w:rPr>
        <w:t>а</w:t>
      </w:r>
      <w:r w:rsidRPr="00322451">
        <w:rPr>
          <w:lang w:val="uk-UA"/>
        </w:rPr>
        <w:t xml:space="preserve"> облікової картки платника податків (для фізичних осіб та фізичних осіб – підприємців);</w:t>
      </w:r>
    </w:p>
    <w:p w14:paraId="5D7F0D0D" w14:textId="77777777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lang w:val="uk-UA"/>
        </w:rPr>
      </w:pPr>
      <w:r w:rsidRPr="00322451">
        <w:rPr>
          <w:lang w:val="uk-UA"/>
        </w:rPr>
        <w:t>копії кваліфікаційних документів аудиторів;</w:t>
      </w:r>
    </w:p>
    <w:p w14:paraId="6E2488D9" w14:textId="77777777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>копію сертифіката аудитора, виданого відповідно до норм чинного законодавства України;</w:t>
      </w:r>
    </w:p>
    <w:p w14:paraId="0AA2D549" w14:textId="77777777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jc w:val="both"/>
        <w:rPr>
          <w:lang w:val="uk-UA"/>
        </w:rPr>
      </w:pPr>
      <w:r w:rsidRPr="00322451">
        <w:rPr>
          <w:lang w:val="uk-UA"/>
        </w:rPr>
        <w:t xml:space="preserve"> копії документів, що підтверджують результати контролю якості аудиторських послуг;</w:t>
      </w:r>
    </w:p>
    <w:p w14:paraId="23DD0D17" w14:textId="47821A7E" w:rsidR="00EC7A8F" w:rsidRPr="00322451" w:rsidRDefault="00EC7A8F" w:rsidP="00EC7A8F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lang w:val="uk-UA"/>
        </w:rPr>
      </w:pPr>
      <w:r w:rsidRPr="009C56D6">
        <w:rPr>
          <w:lang w:val="uk-UA"/>
        </w:rPr>
        <w:t>про</w:t>
      </w:r>
      <w:r w:rsidR="009C56D6" w:rsidRPr="009C56D6">
        <w:rPr>
          <w:lang w:val="uk-UA"/>
        </w:rPr>
        <w:t>е</w:t>
      </w:r>
      <w:r w:rsidRPr="009C56D6">
        <w:rPr>
          <w:lang w:val="uk-UA"/>
        </w:rPr>
        <w:t>кт договору</w:t>
      </w:r>
      <w:r w:rsidRPr="00322451">
        <w:rPr>
          <w:lang w:val="uk-UA"/>
        </w:rPr>
        <w:t xml:space="preserve"> на аудиторські послуги</w:t>
      </w:r>
      <w:r>
        <w:rPr>
          <w:lang w:val="uk-UA"/>
        </w:rPr>
        <w:t>;</w:t>
      </w:r>
    </w:p>
    <w:p w14:paraId="724BEE57" w14:textId="77777777" w:rsidR="00EC7A8F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 w:rsidRPr="00322451">
        <w:rPr>
          <w:lang w:val="uk-UA"/>
        </w:rPr>
        <w:t>довідку у довільній формі з переліком працівників – аудиторів, яких планується залучити до проведення аудиту</w:t>
      </w:r>
      <w:r>
        <w:rPr>
          <w:lang w:val="uk-UA"/>
        </w:rPr>
        <w:t>;</w:t>
      </w:r>
    </w:p>
    <w:p w14:paraId="66036847" w14:textId="77777777" w:rsidR="00EC7A8F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довідку щодо не перевищення </w:t>
      </w:r>
      <w:r w:rsidRPr="00322451">
        <w:rPr>
          <w:bdr w:val="none" w:sz="0" w:space="0" w:color="auto" w:frame="1"/>
          <w:lang w:val="uk-UA"/>
        </w:rPr>
        <w:t xml:space="preserve"> сум</w:t>
      </w:r>
      <w:r>
        <w:rPr>
          <w:bdr w:val="none" w:sz="0" w:space="0" w:color="auto" w:frame="1"/>
          <w:lang w:val="uk-UA"/>
        </w:rPr>
        <w:t>и</w:t>
      </w:r>
      <w:r w:rsidRPr="00322451">
        <w:rPr>
          <w:bdr w:val="none" w:sz="0" w:space="0" w:color="auto" w:frame="1"/>
          <w:lang w:val="uk-UA"/>
        </w:rPr>
        <w:t xml:space="preserve"> винагороди </w:t>
      </w:r>
      <w:r w:rsidRPr="002B7B2A">
        <w:rPr>
          <w:lang w:val="uk-UA"/>
        </w:rPr>
        <w:t xml:space="preserve">суб’єкта аудиторської діяльності </w:t>
      </w:r>
      <w:r w:rsidRPr="00322451">
        <w:rPr>
          <w:bdr w:val="none" w:sz="0" w:space="0" w:color="auto" w:frame="1"/>
          <w:lang w:val="uk-UA"/>
        </w:rPr>
        <w:t>за попередній річний період від кожного з підприємств, що становить  суспільний 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</w:r>
      <w:r>
        <w:rPr>
          <w:bdr w:val="none" w:sz="0" w:space="0" w:color="auto" w:frame="1"/>
          <w:lang w:val="uk-UA"/>
        </w:rPr>
        <w:t>;</w:t>
      </w:r>
    </w:p>
    <w:p w14:paraId="2BC4628E" w14:textId="77777777" w:rsidR="00EC7A8F" w:rsidRDefault="00EC7A8F" w:rsidP="00EC7A8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довідку про </w:t>
      </w:r>
      <w:r w:rsidRPr="00375B95">
        <w:rPr>
          <w:lang w:val="uk-UA"/>
        </w:rPr>
        <w:t>добру репутаці</w:t>
      </w:r>
      <w:r w:rsidRPr="0090054E">
        <w:rPr>
          <w:lang w:val="uk-UA"/>
        </w:rPr>
        <w:t>ю</w:t>
      </w:r>
      <w:r>
        <w:rPr>
          <w:lang w:val="uk-UA"/>
        </w:rPr>
        <w:t xml:space="preserve"> с</w:t>
      </w:r>
      <w:r w:rsidRPr="00C828C0">
        <w:rPr>
          <w:lang w:val="uk-UA"/>
        </w:rPr>
        <w:t>уб’єкт</w:t>
      </w:r>
      <w:r>
        <w:rPr>
          <w:lang w:val="uk-UA"/>
        </w:rPr>
        <w:t>а</w:t>
      </w:r>
      <w:r w:rsidRPr="00C828C0">
        <w:rPr>
          <w:lang w:val="uk-UA"/>
        </w:rPr>
        <w:t xml:space="preserve"> аудиторської діяльності), його керівника та/або аудиторів</w:t>
      </w:r>
      <w:r>
        <w:rPr>
          <w:lang w:val="uk-UA"/>
        </w:rPr>
        <w:t>;</w:t>
      </w:r>
    </w:p>
    <w:p w14:paraId="2805B79B" w14:textId="77777777" w:rsidR="00EC7A8F" w:rsidRPr="002B7B2A" w:rsidRDefault="00EC7A8F" w:rsidP="00EC7A8F">
      <w:pPr>
        <w:pStyle w:val="a5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довідку про в</w:t>
      </w:r>
      <w:r w:rsidRPr="002B7B2A">
        <w:rPr>
          <w:lang w:val="uk-UA"/>
        </w:rPr>
        <w:t>ідсутність у суб’єкта аудиторської діяльності існуючого та/або потенційного конфлікту інтересів і загроз незалежності під час надання аудиторських послуг</w:t>
      </w:r>
      <w:r>
        <w:rPr>
          <w:lang w:val="uk-UA"/>
        </w:rPr>
        <w:t>;</w:t>
      </w:r>
    </w:p>
    <w:p w14:paraId="7E617CDD" w14:textId="77777777" w:rsidR="00EC7A8F" w:rsidRPr="002B7B2A" w:rsidRDefault="00EC7A8F" w:rsidP="00EC7A8F">
      <w:pPr>
        <w:pStyle w:val="a5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довідку про н</w:t>
      </w:r>
      <w:r w:rsidRPr="002B7B2A">
        <w:rPr>
          <w:lang w:val="uk-UA"/>
        </w:rPr>
        <w:t>аявність у суб’єкта аудиторської діяльності не менш як п’яти років досвіду з проведення обов’язкового річного аудиту фінансової звітності державних банків України та/або системно важливих банків, перелік яких визначено Національним банком</w:t>
      </w:r>
      <w:r>
        <w:rPr>
          <w:lang w:val="uk-UA"/>
        </w:rPr>
        <w:t>;</w:t>
      </w:r>
    </w:p>
    <w:p w14:paraId="7D001607" w14:textId="77777777" w:rsidR="00EC7A8F" w:rsidRPr="00101CF8" w:rsidRDefault="00EC7A8F" w:rsidP="00EC7A8F">
      <w:pPr>
        <w:pStyle w:val="a5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д</w:t>
      </w:r>
      <w:r w:rsidRPr="00101CF8">
        <w:rPr>
          <w:lang w:val="uk-UA"/>
        </w:rPr>
        <w:t>овідку про незастосування до суб’єкта аудиторської діяльності, власників його істотної участі або пов’язаних з ним осіб протягом останніх 12 місяців спеціальних економічних та інших обмежувальних заходів Україною та/або іноземними державами - членами Організації економічного співробітництва та розвитку, та/або Європейським Союзом.</w:t>
      </w:r>
    </w:p>
    <w:p w14:paraId="075A128B" w14:textId="77777777" w:rsidR="00EC7A8F" w:rsidRPr="006E2D00" w:rsidRDefault="00EC7A8F" w:rsidP="00EC7A8F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lang w:val="uk-UA"/>
        </w:rPr>
        <w:t>Відповідальність за достовірність документів несе претендент.</w:t>
      </w:r>
    </w:p>
    <w:p w14:paraId="258605AF" w14:textId="77777777" w:rsidR="00EC7A8F" w:rsidRPr="006E2D00" w:rsidRDefault="00EC7A8F" w:rsidP="00EC7A8F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lang w:val="uk-UA"/>
        </w:rPr>
        <w:t xml:space="preserve">Конкурсна пропозиція, анкета учасника конкурсу та </w:t>
      </w:r>
      <w:r w:rsidRPr="006E2D00">
        <w:rPr>
          <w:rFonts w:eastAsia="Calibri"/>
          <w:lang w:val="uk-UA" w:eastAsia="en-US"/>
        </w:rPr>
        <w:t>довідка з переліком працівників – аудиторів, яких планується залучити до проведення аудиту,</w:t>
      </w:r>
      <w:r w:rsidRPr="006E2D00">
        <w:rPr>
          <w:lang w:val="uk-UA"/>
        </w:rPr>
        <w:t xml:space="preserve"> мають бути підписані уповноваженою посадовою особою суб’єкта аудиторської діяльності. </w:t>
      </w:r>
    </w:p>
    <w:p w14:paraId="2194E457" w14:textId="77777777" w:rsidR="00EC7A8F" w:rsidRPr="006E2D00" w:rsidRDefault="00EC7A8F" w:rsidP="00EC7A8F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lang w:val="uk-UA"/>
        </w:rPr>
        <w:t>Всі документи претендента надсилаються у вигляді скан</w:t>
      </w:r>
      <w:r>
        <w:rPr>
          <w:lang w:val="uk-UA"/>
        </w:rPr>
        <w:t xml:space="preserve">ованих </w:t>
      </w:r>
      <w:r w:rsidRPr="006E2D00">
        <w:rPr>
          <w:lang w:val="uk-UA"/>
        </w:rPr>
        <w:t xml:space="preserve">копій на електронну адресу Банку, вказану в оголошенні про проведення конкурсу. </w:t>
      </w:r>
    </w:p>
    <w:p w14:paraId="6808A84F" w14:textId="77777777" w:rsidR="00EC7A8F" w:rsidRPr="006E2D00" w:rsidRDefault="00EC7A8F" w:rsidP="00EC7A8F">
      <w:pPr>
        <w:tabs>
          <w:tab w:val="left" w:pos="1134"/>
        </w:tabs>
        <w:ind w:firstLine="567"/>
        <w:jc w:val="both"/>
        <w:rPr>
          <w:lang w:val="uk-UA"/>
        </w:rPr>
      </w:pPr>
      <w:r w:rsidRPr="006E2D00">
        <w:rPr>
          <w:lang w:val="uk-UA"/>
        </w:rPr>
        <w:t>Кожен претендент має право подати тільки одну конкурсну пропозицію, яка не може бути змінена після закінчення строку подання конкурсних пропозицій.</w:t>
      </w:r>
    </w:p>
    <w:p w14:paraId="2F2DBC36" w14:textId="77777777" w:rsidR="00EC7A8F" w:rsidRPr="006E2D00" w:rsidRDefault="00EC7A8F" w:rsidP="00EC7A8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  <w:r w:rsidRPr="006E2D00">
        <w:rPr>
          <w:lang w:val="uk-UA"/>
        </w:rPr>
        <w:t>Фінансова звітність розміщена на сайті Банку.</w:t>
      </w:r>
    </w:p>
    <w:p w14:paraId="089A3179" w14:textId="77777777" w:rsidR="00EC7A8F" w:rsidRPr="006E2D00" w:rsidRDefault="00EC7A8F" w:rsidP="00EC7A8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  <w:r w:rsidRPr="006E2D00">
        <w:rPr>
          <w:lang w:val="uk-UA"/>
        </w:rPr>
        <w:t>Про результати відбору Банк повідомляє учасників конк</w:t>
      </w:r>
      <w:r w:rsidRPr="00F57359">
        <w:rPr>
          <w:lang w:val="uk-UA"/>
        </w:rPr>
        <w:t>урс</w:t>
      </w:r>
      <w:r w:rsidRPr="00322451">
        <w:rPr>
          <w:lang w:val="uk-UA"/>
        </w:rPr>
        <w:t>у.</w:t>
      </w:r>
    </w:p>
    <w:p w14:paraId="08A3416F" w14:textId="77777777" w:rsidR="00EC7A8F" w:rsidRPr="009E3937" w:rsidRDefault="00EC7A8F" w:rsidP="00620D61">
      <w:pPr>
        <w:jc w:val="both"/>
        <w:rPr>
          <w:lang w:val="uk-UA"/>
        </w:rPr>
      </w:pPr>
    </w:p>
    <w:p w14:paraId="4016AB20" w14:textId="3547FF0D" w:rsidR="00620D61" w:rsidRPr="009B2AE9" w:rsidRDefault="009353E4" w:rsidP="009B2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>
        <w:rPr>
          <w:b/>
          <w:lang w:val="uk-UA"/>
        </w:rPr>
        <w:t xml:space="preserve">  </w:t>
      </w:r>
      <w:r w:rsidR="008420C5">
        <w:rPr>
          <w:b/>
          <w:lang w:val="uk-UA"/>
        </w:rPr>
        <w:t xml:space="preserve"> </w:t>
      </w:r>
    </w:p>
    <w:sectPr w:rsidR="00620D61" w:rsidRPr="009B2AE9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B042F" w14:textId="77777777" w:rsidR="003E494C" w:rsidRDefault="003E494C" w:rsidP="007C661F">
      <w:r>
        <w:separator/>
      </w:r>
    </w:p>
  </w:endnote>
  <w:endnote w:type="continuationSeparator" w:id="0">
    <w:p w14:paraId="10930F90" w14:textId="77777777" w:rsidR="003E494C" w:rsidRDefault="003E494C" w:rsidP="007C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295626"/>
      <w:docPartObj>
        <w:docPartGallery w:val="Page Numbers (Bottom of Page)"/>
        <w:docPartUnique/>
      </w:docPartObj>
    </w:sdtPr>
    <w:sdtEndPr/>
    <w:sdtContent>
      <w:p w14:paraId="4CFB5C9F" w14:textId="10CB01DD" w:rsidR="007C661F" w:rsidRDefault="007C661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2AA830" w14:textId="77777777" w:rsidR="007C661F" w:rsidRDefault="007C66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3A36" w14:textId="77777777" w:rsidR="003E494C" w:rsidRDefault="003E494C" w:rsidP="007C661F">
      <w:r>
        <w:separator/>
      </w:r>
    </w:p>
  </w:footnote>
  <w:footnote w:type="continuationSeparator" w:id="0">
    <w:p w14:paraId="1E3964A6" w14:textId="77777777" w:rsidR="003E494C" w:rsidRDefault="003E494C" w:rsidP="007C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6B94"/>
    <w:multiLevelType w:val="hybridMultilevel"/>
    <w:tmpl w:val="9AD43E48"/>
    <w:lvl w:ilvl="0" w:tplc="7B108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B10833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4B1BCD"/>
    <w:multiLevelType w:val="hybridMultilevel"/>
    <w:tmpl w:val="23ACC710"/>
    <w:lvl w:ilvl="0" w:tplc="CC7A00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8D379C"/>
    <w:multiLevelType w:val="hybridMultilevel"/>
    <w:tmpl w:val="45505D86"/>
    <w:lvl w:ilvl="0" w:tplc="7B108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40D5"/>
    <w:multiLevelType w:val="hybridMultilevel"/>
    <w:tmpl w:val="5C023810"/>
    <w:lvl w:ilvl="0" w:tplc="063C7E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67AE"/>
    <w:multiLevelType w:val="hybridMultilevel"/>
    <w:tmpl w:val="7D387368"/>
    <w:lvl w:ilvl="0" w:tplc="5F7C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02BB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F08E0"/>
    <w:multiLevelType w:val="hybridMultilevel"/>
    <w:tmpl w:val="6B38C03A"/>
    <w:lvl w:ilvl="0" w:tplc="EB281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DA7"/>
    <w:multiLevelType w:val="hybridMultilevel"/>
    <w:tmpl w:val="AA12FFDA"/>
    <w:lvl w:ilvl="0" w:tplc="7B108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AE3"/>
    <w:multiLevelType w:val="hybridMultilevel"/>
    <w:tmpl w:val="E326A4AA"/>
    <w:lvl w:ilvl="0" w:tplc="5F7C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E7AAD"/>
    <w:multiLevelType w:val="hybridMultilevel"/>
    <w:tmpl w:val="464E9A5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2949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261833"/>
    <w:multiLevelType w:val="hybridMultilevel"/>
    <w:tmpl w:val="3A4CEC64"/>
    <w:lvl w:ilvl="0" w:tplc="7B1083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61"/>
    <w:rsid w:val="0002176A"/>
    <w:rsid w:val="0005429F"/>
    <w:rsid w:val="00066233"/>
    <w:rsid w:val="000A73BF"/>
    <w:rsid w:val="000D4FEF"/>
    <w:rsid w:val="000E77C1"/>
    <w:rsid w:val="00115D63"/>
    <w:rsid w:val="0012107C"/>
    <w:rsid w:val="001360C4"/>
    <w:rsid w:val="00143C75"/>
    <w:rsid w:val="001455DE"/>
    <w:rsid w:val="001506FC"/>
    <w:rsid w:val="00164A83"/>
    <w:rsid w:val="00173712"/>
    <w:rsid w:val="00190507"/>
    <w:rsid w:val="001A34E8"/>
    <w:rsid w:val="001F7F5C"/>
    <w:rsid w:val="00215018"/>
    <w:rsid w:val="00215D34"/>
    <w:rsid w:val="00276995"/>
    <w:rsid w:val="00297064"/>
    <w:rsid w:val="002A4079"/>
    <w:rsid w:val="00315E8F"/>
    <w:rsid w:val="00317488"/>
    <w:rsid w:val="00337601"/>
    <w:rsid w:val="00354F27"/>
    <w:rsid w:val="003634BC"/>
    <w:rsid w:val="003774BC"/>
    <w:rsid w:val="00394B91"/>
    <w:rsid w:val="003E494C"/>
    <w:rsid w:val="00466211"/>
    <w:rsid w:val="00494861"/>
    <w:rsid w:val="004A74FA"/>
    <w:rsid w:val="004B06DA"/>
    <w:rsid w:val="004C459D"/>
    <w:rsid w:val="004F0354"/>
    <w:rsid w:val="00521DB3"/>
    <w:rsid w:val="00587EC1"/>
    <w:rsid w:val="005A36ED"/>
    <w:rsid w:val="006037EA"/>
    <w:rsid w:val="00620D61"/>
    <w:rsid w:val="00634788"/>
    <w:rsid w:val="0066480E"/>
    <w:rsid w:val="006874A5"/>
    <w:rsid w:val="006A1F08"/>
    <w:rsid w:val="006C49A0"/>
    <w:rsid w:val="006F19DB"/>
    <w:rsid w:val="007121FF"/>
    <w:rsid w:val="007275B6"/>
    <w:rsid w:val="007957A3"/>
    <w:rsid w:val="007B00F8"/>
    <w:rsid w:val="007B6AFE"/>
    <w:rsid w:val="007C661F"/>
    <w:rsid w:val="007F77FB"/>
    <w:rsid w:val="00801A1E"/>
    <w:rsid w:val="008420C5"/>
    <w:rsid w:val="00844A65"/>
    <w:rsid w:val="00853F0B"/>
    <w:rsid w:val="0085481D"/>
    <w:rsid w:val="0086542F"/>
    <w:rsid w:val="00883663"/>
    <w:rsid w:val="0089341D"/>
    <w:rsid w:val="008948AA"/>
    <w:rsid w:val="008A1441"/>
    <w:rsid w:val="008B1C7C"/>
    <w:rsid w:val="008C346E"/>
    <w:rsid w:val="008D4A69"/>
    <w:rsid w:val="008E0527"/>
    <w:rsid w:val="00904001"/>
    <w:rsid w:val="00916E04"/>
    <w:rsid w:val="009353E4"/>
    <w:rsid w:val="0095724B"/>
    <w:rsid w:val="0098259B"/>
    <w:rsid w:val="009972D7"/>
    <w:rsid w:val="009A0CFF"/>
    <w:rsid w:val="009B2AE9"/>
    <w:rsid w:val="009C56D6"/>
    <w:rsid w:val="009C5F5E"/>
    <w:rsid w:val="009D7D15"/>
    <w:rsid w:val="009E3937"/>
    <w:rsid w:val="00A17724"/>
    <w:rsid w:val="00A62791"/>
    <w:rsid w:val="00AC2CE6"/>
    <w:rsid w:val="00AE19E0"/>
    <w:rsid w:val="00B06D72"/>
    <w:rsid w:val="00B113A3"/>
    <w:rsid w:val="00B46A9F"/>
    <w:rsid w:val="00B5232E"/>
    <w:rsid w:val="00B54A9E"/>
    <w:rsid w:val="00BF4BF3"/>
    <w:rsid w:val="00C3521B"/>
    <w:rsid w:val="00C36824"/>
    <w:rsid w:val="00C60DAD"/>
    <w:rsid w:val="00C65901"/>
    <w:rsid w:val="00C7558B"/>
    <w:rsid w:val="00CA41BE"/>
    <w:rsid w:val="00D118A4"/>
    <w:rsid w:val="00D203CD"/>
    <w:rsid w:val="00D4393B"/>
    <w:rsid w:val="00D52C78"/>
    <w:rsid w:val="00D86D1F"/>
    <w:rsid w:val="00DC0043"/>
    <w:rsid w:val="00DC5FB0"/>
    <w:rsid w:val="00DD6C28"/>
    <w:rsid w:val="00E54043"/>
    <w:rsid w:val="00E931ED"/>
    <w:rsid w:val="00EC7A8F"/>
    <w:rsid w:val="00F22112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3036"/>
  <w15:chartTrackingRefBased/>
  <w15:docId w15:val="{894C8041-C256-456A-B725-AE6E354D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64A83"/>
    <w:pPr>
      <w:keepNext/>
      <w:keepLines/>
      <w:spacing w:before="1200" w:after="600"/>
      <w:ind w:right="1274"/>
      <w:jc w:val="right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64A83"/>
    <w:pPr>
      <w:keepNext/>
      <w:keepLines/>
      <w:spacing w:before="200" w:after="400"/>
      <w:ind w:left="1418"/>
      <w:outlineLvl w:val="1"/>
    </w:pPr>
    <w:rPr>
      <w:rFonts w:ascii="Franklin Gothic Book" w:eastAsiaTheme="majorEastAsia" w:hAnsi="Franklin Gothic Book" w:cstheme="majorBidi"/>
      <w:b/>
      <w:bCs/>
      <w:color w:val="4F81BD" w:themeColor="accent1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4A83"/>
    <w:pPr>
      <w:keepNext/>
      <w:keepLines/>
      <w:spacing w:before="200"/>
      <w:ind w:left="1418"/>
      <w:outlineLvl w:val="2"/>
    </w:pPr>
    <w:rPr>
      <w:rFonts w:ascii="Franklin Gothic Book" w:eastAsiaTheme="majorEastAsia" w:hAnsi="Franklin Gothic Book" w:cstheme="majorBidi"/>
      <w:b/>
      <w:b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83"/>
    <w:rPr>
      <w:rFonts w:ascii="Garamond" w:eastAsiaTheme="majorEastAsia" w:hAnsi="Garamond" w:cstheme="majorBidi"/>
      <w:b/>
      <w:bCs/>
      <w:color w:val="365F9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164A8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164A83"/>
    <w:pPr>
      <w:spacing w:before="480" w:after="0"/>
      <w:ind w:right="0"/>
      <w:jc w:val="left"/>
      <w:outlineLvl w:val="9"/>
    </w:pPr>
    <w:rPr>
      <w:rFonts w:asciiTheme="majorHAnsi" w:hAnsiTheme="majorHAnsi"/>
      <w:b w:val="0"/>
      <w:sz w:val="28"/>
      <w:szCs w:val="28"/>
    </w:rPr>
  </w:style>
  <w:style w:type="paragraph" w:styleId="a5">
    <w:name w:val="Normal (Web)"/>
    <w:basedOn w:val="a"/>
    <w:uiPriority w:val="99"/>
    <w:unhideWhenUsed/>
    <w:rsid w:val="00620D6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20D6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17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7724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Название Знак"/>
    <w:rsid w:val="008A1441"/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8948A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8948AA"/>
  </w:style>
  <w:style w:type="character" w:customStyle="1" w:styleId="rvts46">
    <w:name w:val="rvts46"/>
    <w:basedOn w:val="a0"/>
    <w:rsid w:val="008948AA"/>
  </w:style>
  <w:style w:type="character" w:styleId="a8">
    <w:name w:val="Hyperlink"/>
    <w:basedOn w:val="a0"/>
    <w:uiPriority w:val="99"/>
    <w:semiHidden/>
    <w:unhideWhenUsed/>
    <w:rsid w:val="008948A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37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37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C661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66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7C661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66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7E86-A2CA-4AAF-812E-8B06BC92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Калінов Геннадій</dc:creator>
  <cp:keywords/>
  <dc:description/>
  <cp:lastModifiedBy>Калінов Геннадій</cp:lastModifiedBy>
  <cp:revision>64</cp:revision>
  <cp:lastPrinted>2021-07-23T08:28:00Z</cp:lastPrinted>
  <dcterms:created xsi:type="dcterms:W3CDTF">2025-07-30T14:43:00Z</dcterms:created>
  <dcterms:modified xsi:type="dcterms:W3CDTF">2025-10-28T12:12:00Z</dcterms:modified>
</cp:coreProperties>
</file>